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4E4" w:rsidRDefault="00D74D9D" w:rsidP="002B49AA">
      <w:pPr>
        <w:spacing w:before="240" w:after="0" w:line="300" w:lineRule="exact"/>
        <w:jc w:val="both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bg-BG"/>
        </w:rPr>
        <w:pict>
          <v:group id="_x0000_s1026" style="position:absolute;left:0;text-align:left;margin-left:-68.4pt;margin-top:-62.8pt;width:568.95pt;height:99pt;z-index:251657728" coordorigin="-216,54" coordsize="10416,1980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4407;top:954;width:3927;height:108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" filled="f" stroked="f">
              <v:textbox style="mso-next-textbox:#Text Box 3">
                <w:txbxContent>
                  <w:p w:rsidR="002634E4" w:rsidRPr="00167BA6" w:rsidRDefault="002634E4" w:rsidP="002634E4">
                    <w:pPr>
                      <w:pStyle w:val="ListParagraph"/>
                      <w:spacing w:line="360" w:lineRule="auto"/>
                      <w:ind w:left="-113"/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</w:pP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>София 1618, бул. “Цар Борис III” 136</w:t>
                    </w:r>
                  </w:p>
                  <w:p w:rsidR="002634E4" w:rsidRPr="001766A4" w:rsidRDefault="002634E4" w:rsidP="002634E4">
                    <w:pPr>
                      <w:pStyle w:val="ListParagraph"/>
                      <w:spacing w:line="360" w:lineRule="auto"/>
                      <w:ind w:left="-113"/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>тел.: 02/81-87-272, 02/81-87-222</w:t>
                    </w:r>
                  </w:p>
                  <w:p w:rsidR="002634E4" w:rsidRPr="00167BA6" w:rsidRDefault="002634E4" w:rsidP="002634E4">
                    <w:pPr>
                      <w:pStyle w:val="ListParagraph"/>
                      <w:spacing w:line="360" w:lineRule="auto"/>
                      <w:ind w:left="-113"/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  <w:lang w:val="ru-RU"/>
                      </w:rPr>
                    </w:pP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 xml:space="preserve">факс: 02/81-87-267, </w:t>
                    </w:r>
                    <w:hyperlink r:id="rId8" w:history="1">
                      <w:r w:rsidRPr="00167BA6">
                        <w:rPr>
                          <w:rStyle w:val="Hyperlink"/>
                          <w:rFonts w:ascii="Times New Roman" w:hAnsi="Times New Roman"/>
                          <w:color w:val="491407"/>
                          <w:sz w:val="18"/>
                          <w:szCs w:val="18"/>
                        </w:rPr>
                        <w:t>dfz</w:t>
                      </w:r>
                      <w:r w:rsidRPr="00167BA6">
                        <w:rPr>
                          <w:rStyle w:val="Hyperlink"/>
                          <w:rFonts w:ascii="Times New Roman" w:hAnsi="Times New Roman"/>
                          <w:color w:val="491407"/>
                          <w:sz w:val="18"/>
                          <w:szCs w:val="18"/>
                          <w:lang w:val="ru-RU"/>
                        </w:rPr>
                        <w:t>@</w:t>
                      </w:r>
                      <w:r w:rsidRPr="00167BA6">
                        <w:rPr>
                          <w:rStyle w:val="Hyperlink"/>
                          <w:rFonts w:ascii="Times New Roman" w:hAnsi="Times New Roman"/>
                          <w:color w:val="491407"/>
                          <w:sz w:val="18"/>
                          <w:szCs w:val="18"/>
                        </w:rPr>
                        <w:t>dfz</w:t>
                      </w:r>
                      <w:r w:rsidRPr="00167BA6">
                        <w:rPr>
                          <w:rStyle w:val="Hyperlink"/>
                          <w:rFonts w:ascii="Times New Roman" w:hAnsi="Times New Roman"/>
                          <w:color w:val="491407"/>
                          <w:sz w:val="18"/>
                          <w:szCs w:val="18"/>
                          <w:lang w:val="ru-RU"/>
                        </w:rPr>
                        <w:t>.</w:t>
                      </w:r>
                      <w:r w:rsidRPr="00167BA6">
                        <w:rPr>
                          <w:rStyle w:val="Hyperlink"/>
                          <w:rFonts w:ascii="Times New Roman" w:hAnsi="Times New Roman"/>
                          <w:color w:val="491407"/>
                          <w:sz w:val="18"/>
                          <w:szCs w:val="18"/>
                        </w:rPr>
                        <w:t>bg</w:t>
                      </w:r>
                    </w:hyperlink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  <w:lang w:val="ru-RU"/>
                      </w:rPr>
                      <w:t xml:space="preserve">, </w:t>
                    </w: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>www</w:t>
                    </w: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  <w:lang w:val="ru-RU"/>
                      </w:rPr>
                      <w:t>.</w:t>
                    </w: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>dfz</w:t>
                    </w: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  <w:lang w:val="ru-RU"/>
                      </w:rPr>
                      <w:t>.</w:t>
                    </w: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>bg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8514;top:810;width:1686;height:1044">
              <v:imagedata r:id="rId9" o:title=""/>
            </v:shape>
            <v:shape id="Picture 21" o:spid="_x0000_s1029" type="#_x0000_t75" style="position:absolute;left:-216;top:54;width:4230;height:1980;visibility:visible">
              <v:imagedata r:id="rId10" o:title=""/>
            </v:shape>
          </v:group>
        </w:pict>
      </w:r>
    </w:p>
    <w:p w:rsidR="00E55D68" w:rsidRDefault="00E55D68" w:rsidP="002634E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3050D6" w:rsidRDefault="00B17218" w:rsidP="003050D6">
      <w:pPr>
        <w:spacing w:before="240" w:after="0" w:line="300" w:lineRule="exact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№ 18</w:t>
      </w:r>
      <w:bookmarkStart w:id="0" w:name="_GoBack"/>
      <w:bookmarkEnd w:id="0"/>
    </w:p>
    <w:p w:rsidR="003050D6" w:rsidRDefault="003050D6" w:rsidP="00060E9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2634E4" w:rsidRDefault="00060E94" w:rsidP="00060E9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060E94">
        <w:rPr>
          <w:rFonts w:ascii="Times New Roman" w:hAnsi="Times New Roman"/>
          <w:b/>
          <w:sz w:val="24"/>
          <w:szCs w:val="24"/>
        </w:rPr>
        <w:t>СПИСЪК С НАИМЕНОВАНИЯТА НА АКТИВИТЕ, ДЕЙНОСТИТЕ И УСЛУГИТЕ, ЗА КОИТО СА ОПРЕДЕЛЕНИ РЕФЕРЕНТНИ РАЗХОДИ</w:t>
      </w:r>
    </w:p>
    <w:p w:rsidR="00060E94" w:rsidRPr="00A17634" w:rsidRDefault="00060E94" w:rsidP="00060E94">
      <w:pPr>
        <w:spacing w:before="240" w:after="0" w:line="300" w:lineRule="exact"/>
        <w:jc w:val="center"/>
        <w:rPr>
          <w:rFonts w:ascii="Arial" w:hAnsi="Arial" w:cs="Arial"/>
          <w:b/>
        </w:rPr>
      </w:pPr>
    </w:p>
    <w:tbl>
      <w:tblPr>
        <w:tblW w:w="10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9"/>
        <w:gridCol w:w="1560"/>
        <w:gridCol w:w="9"/>
        <w:gridCol w:w="3960"/>
        <w:gridCol w:w="708"/>
        <w:gridCol w:w="993"/>
        <w:gridCol w:w="567"/>
        <w:gridCol w:w="14"/>
        <w:gridCol w:w="694"/>
        <w:gridCol w:w="709"/>
        <w:gridCol w:w="595"/>
      </w:tblGrid>
      <w:tr w:rsidR="00492124" w:rsidRPr="00BC7763" w:rsidTr="00D624E5">
        <w:trPr>
          <w:cantSplit/>
          <w:jc w:val="center"/>
        </w:trPr>
        <w:tc>
          <w:tcPr>
            <w:tcW w:w="739" w:type="dxa"/>
            <w:vMerge w:val="restart"/>
            <w:shd w:val="clear" w:color="auto" w:fill="D9D9D9"/>
            <w:vAlign w:val="center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Реф. СМР№</w:t>
            </w:r>
          </w:p>
        </w:tc>
        <w:tc>
          <w:tcPr>
            <w:tcW w:w="1560" w:type="dxa"/>
            <w:vMerge w:val="restart"/>
            <w:shd w:val="clear" w:color="auto" w:fill="D9D9D9"/>
            <w:vAlign w:val="center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СМР</w:t>
            </w:r>
          </w:p>
        </w:tc>
        <w:tc>
          <w:tcPr>
            <w:tcW w:w="3969" w:type="dxa"/>
            <w:gridSpan w:val="2"/>
            <w:vMerge w:val="restart"/>
            <w:shd w:val="clear" w:color="auto" w:fill="D9D9D9"/>
            <w:vAlign w:val="center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Описание</w:t>
            </w:r>
          </w:p>
        </w:tc>
        <w:tc>
          <w:tcPr>
            <w:tcW w:w="708" w:type="dxa"/>
            <w:vMerge w:val="restart"/>
            <w:shd w:val="clear" w:color="auto" w:fill="D9D9D9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Мерна единица</w:t>
            </w:r>
          </w:p>
        </w:tc>
        <w:tc>
          <w:tcPr>
            <w:tcW w:w="993" w:type="dxa"/>
            <w:shd w:val="clear" w:color="auto" w:fill="D9D9D9"/>
          </w:tcPr>
          <w:p w:rsidR="00492124" w:rsidRPr="006A1E6D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Ново строителство</w:t>
            </w:r>
            <w:r>
              <w:rPr>
                <w:sz w:val="24"/>
                <w:szCs w:val="24"/>
              </w:rPr>
              <w:t xml:space="preserve"> – цена в лв.</w:t>
            </w:r>
          </w:p>
        </w:tc>
        <w:tc>
          <w:tcPr>
            <w:tcW w:w="567" w:type="dxa"/>
            <w:shd w:val="clear" w:color="auto" w:fill="D9D9D9"/>
          </w:tcPr>
          <w:p w:rsidR="00492124" w:rsidRPr="0015148E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Реконст рукция</w:t>
            </w:r>
          </w:p>
        </w:tc>
        <w:tc>
          <w:tcPr>
            <w:tcW w:w="708" w:type="dxa"/>
            <w:gridSpan w:val="2"/>
            <w:shd w:val="clear" w:color="auto" w:fill="D9D9D9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Основен ремонт</w:t>
            </w:r>
          </w:p>
        </w:tc>
        <w:tc>
          <w:tcPr>
            <w:tcW w:w="709" w:type="dxa"/>
            <w:shd w:val="clear" w:color="auto" w:fill="D9D9D9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Текущ ремонт</w:t>
            </w:r>
          </w:p>
        </w:tc>
        <w:tc>
          <w:tcPr>
            <w:tcW w:w="595" w:type="dxa"/>
            <w:shd w:val="clear" w:color="auto" w:fill="D9D9D9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Довърши телни работи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Merge/>
            <w:shd w:val="clear" w:color="auto" w:fill="D9D9D9"/>
            <w:vAlign w:val="center"/>
          </w:tcPr>
          <w:p w:rsidR="00492124" w:rsidRPr="00BC7763" w:rsidRDefault="00492124" w:rsidP="00D624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D9D9D9"/>
            <w:vAlign w:val="center"/>
          </w:tcPr>
          <w:p w:rsidR="00492124" w:rsidRPr="00BC7763" w:rsidRDefault="00492124" w:rsidP="00D624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/>
            <w:shd w:val="clear" w:color="auto" w:fill="D9D9D9"/>
            <w:vAlign w:val="center"/>
          </w:tcPr>
          <w:p w:rsidR="00492124" w:rsidRPr="00BC7763" w:rsidRDefault="00492124" w:rsidP="00D624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D9D9D9"/>
          </w:tcPr>
          <w:p w:rsidR="00492124" w:rsidRPr="00BC7763" w:rsidRDefault="00492124" w:rsidP="00D624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D9D9D9"/>
          </w:tcPr>
          <w:p w:rsidR="00492124" w:rsidRPr="00C02509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 w:rsidRPr="00C02509">
              <w:rPr>
                <w:i/>
                <w:sz w:val="24"/>
                <w:szCs w:val="24"/>
              </w:rPr>
              <w:t>/лв/м2;лв м3; лв/м'</w:t>
            </w:r>
          </w:p>
          <w:p w:rsidR="00492124" w:rsidRPr="00DA07A2" w:rsidRDefault="00492124" w:rsidP="00D624E5">
            <w:pPr>
              <w:jc w:val="center"/>
              <w:rPr>
                <w:b/>
                <w:sz w:val="24"/>
                <w:szCs w:val="24"/>
              </w:rPr>
            </w:pPr>
            <w:r w:rsidRPr="00C02509">
              <w:rPr>
                <w:i/>
                <w:sz w:val="24"/>
                <w:szCs w:val="24"/>
              </w:rPr>
              <w:t>лв/дка/</w:t>
            </w:r>
          </w:p>
        </w:tc>
        <w:tc>
          <w:tcPr>
            <w:tcW w:w="567" w:type="dxa"/>
            <w:shd w:val="clear" w:color="auto" w:fill="D9D9D9"/>
          </w:tcPr>
          <w:p w:rsidR="00492124" w:rsidRPr="00C02509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 w:rsidRPr="00C02509">
              <w:rPr>
                <w:i/>
                <w:sz w:val="24"/>
                <w:szCs w:val="24"/>
              </w:rPr>
              <w:t>/</w:t>
            </w:r>
            <w:r>
              <w:rPr>
                <w:i/>
                <w:sz w:val="24"/>
                <w:szCs w:val="24"/>
              </w:rPr>
              <w:t xml:space="preserve">% от </w:t>
            </w:r>
            <w:r w:rsidRPr="00C02509">
              <w:rPr>
                <w:i/>
                <w:sz w:val="24"/>
                <w:szCs w:val="24"/>
              </w:rPr>
              <w:t>колона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Д</w:t>
            </w:r>
            <w:r w:rsidRPr="00C02509">
              <w:rPr>
                <w:i/>
                <w:sz w:val="24"/>
                <w:szCs w:val="24"/>
              </w:rPr>
              <w:t>/</w:t>
            </w:r>
          </w:p>
        </w:tc>
        <w:tc>
          <w:tcPr>
            <w:tcW w:w="708" w:type="dxa"/>
            <w:gridSpan w:val="2"/>
            <w:shd w:val="clear" w:color="auto" w:fill="D9D9D9"/>
          </w:tcPr>
          <w:p w:rsidR="00492124" w:rsidRPr="00C02509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/</w:t>
            </w:r>
            <w:r w:rsidRPr="00C02509">
              <w:rPr>
                <w:i/>
                <w:sz w:val="24"/>
                <w:szCs w:val="24"/>
              </w:rPr>
              <w:t xml:space="preserve">% от 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C02509">
              <w:rPr>
                <w:i/>
                <w:sz w:val="24"/>
                <w:szCs w:val="24"/>
              </w:rPr>
              <w:t>колона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Д</w:t>
            </w:r>
            <w:r>
              <w:rPr>
                <w:i/>
                <w:sz w:val="24"/>
                <w:szCs w:val="24"/>
              </w:rPr>
              <w:t>/</w:t>
            </w:r>
          </w:p>
        </w:tc>
        <w:tc>
          <w:tcPr>
            <w:tcW w:w="709" w:type="dxa"/>
            <w:shd w:val="clear" w:color="auto" w:fill="D9D9D9"/>
          </w:tcPr>
          <w:p w:rsidR="00492124" w:rsidRPr="00C02509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/</w:t>
            </w:r>
            <w:r w:rsidRPr="00C02509">
              <w:rPr>
                <w:i/>
                <w:sz w:val="24"/>
                <w:szCs w:val="24"/>
              </w:rPr>
              <w:t>% от колона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Д</w:t>
            </w:r>
            <w:r>
              <w:rPr>
                <w:i/>
                <w:sz w:val="24"/>
                <w:szCs w:val="24"/>
              </w:rPr>
              <w:t>/</w:t>
            </w:r>
          </w:p>
        </w:tc>
        <w:tc>
          <w:tcPr>
            <w:tcW w:w="595" w:type="dxa"/>
            <w:shd w:val="clear" w:color="auto" w:fill="D9D9D9"/>
          </w:tcPr>
          <w:p w:rsidR="00492124" w:rsidRPr="00C02509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/</w:t>
            </w:r>
            <w:r w:rsidRPr="00C02509">
              <w:rPr>
                <w:i/>
                <w:sz w:val="24"/>
                <w:szCs w:val="24"/>
              </w:rPr>
              <w:t>% от колона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Д</w:t>
            </w:r>
            <w:r>
              <w:rPr>
                <w:i/>
                <w:sz w:val="24"/>
                <w:szCs w:val="24"/>
              </w:rPr>
              <w:t>/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shd w:val="clear" w:color="auto" w:fill="F2F2F2"/>
          </w:tcPr>
          <w:p w:rsidR="00492124" w:rsidRPr="0015148E" w:rsidRDefault="00492124" w:rsidP="00D624E5">
            <w:pPr>
              <w:tabs>
                <w:tab w:val="left" w:pos="645"/>
              </w:tabs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А</w:t>
            </w:r>
          </w:p>
        </w:tc>
        <w:tc>
          <w:tcPr>
            <w:tcW w:w="1560" w:type="dxa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Б</w:t>
            </w:r>
          </w:p>
        </w:tc>
        <w:tc>
          <w:tcPr>
            <w:tcW w:w="3969" w:type="dxa"/>
            <w:gridSpan w:val="2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708" w:type="dxa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Г</w:t>
            </w:r>
          </w:p>
        </w:tc>
        <w:tc>
          <w:tcPr>
            <w:tcW w:w="993" w:type="dxa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Д</w:t>
            </w:r>
          </w:p>
        </w:tc>
        <w:tc>
          <w:tcPr>
            <w:tcW w:w="567" w:type="dxa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Е</w:t>
            </w:r>
          </w:p>
        </w:tc>
        <w:tc>
          <w:tcPr>
            <w:tcW w:w="708" w:type="dxa"/>
            <w:gridSpan w:val="2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Ж</w:t>
            </w:r>
          </w:p>
        </w:tc>
        <w:tc>
          <w:tcPr>
            <w:tcW w:w="709" w:type="dxa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З</w:t>
            </w:r>
          </w:p>
        </w:tc>
        <w:tc>
          <w:tcPr>
            <w:tcW w:w="595" w:type="dxa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И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BC7763" w:rsidRDefault="00492124" w:rsidP="00D624E5">
            <w:pPr>
              <w:rPr>
                <w:b/>
                <w:sz w:val="24"/>
                <w:szCs w:val="24"/>
                <w:lang w:val="ru-RU"/>
              </w:rPr>
            </w:pPr>
            <w:r w:rsidRPr="00BC7763">
              <w:rPr>
                <w:b/>
                <w:sz w:val="24"/>
                <w:szCs w:val="24"/>
                <w:lang w:val="ru-RU"/>
              </w:rPr>
              <w:t>Основни</w:t>
            </w:r>
            <w:r w:rsidRPr="00BC7763">
              <w:rPr>
                <w:b/>
                <w:sz w:val="24"/>
                <w:szCs w:val="24"/>
                <w:lang w:val="en-US"/>
              </w:rPr>
              <w:t xml:space="preserve">, </w:t>
            </w:r>
            <w:r w:rsidRPr="00BC7763">
              <w:rPr>
                <w:b/>
                <w:sz w:val="24"/>
                <w:szCs w:val="24"/>
                <w:lang w:val="ru-RU"/>
              </w:rPr>
              <w:t>помощни и обслужващи сгради, прилежащи площи към тях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AD20B8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Административно - битова сграда (самостоятелна сграда)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</w:rPr>
              <w:t>С</w:t>
            </w:r>
            <w:r w:rsidRPr="00BC7763">
              <w:rPr>
                <w:rFonts w:eastAsia="Times New Roman"/>
                <w:sz w:val="24"/>
                <w:szCs w:val="24"/>
              </w:rPr>
              <w:t>града, вкл</w:t>
            </w:r>
            <w:r w:rsidRPr="00BC7763">
              <w:rPr>
                <w:sz w:val="24"/>
                <w:szCs w:val="24"/>
              </w:rPr>
              <w:t>ючваща</w:t>
            </w:r>
            <w:r w:rsidRPr="00BC7763">
              <w:rPr>
                <w:rFonts w:eastAsia="Times New Roman"/>
                <w:sz w:val="24"/>
                <w:szCs w:val="24"/>
              </w:rPr>
              <w:t xml:space="preserve"> в обема си </w:t>
            </w:r>
            <w:r w:rsidRPr="00BC7763">
              <w:rPr>
                <w:sz w:val="24"/>
                <w:szCs w:val="24"/>
              </w:rPr>
              <w:t xml:space="preserve">само административно - битови </w:t>
            </w:r>
            <w:r w:rsidRPr="00BC7763">
              <w:rPr>
                <w:rFonts w:eastAsia="Times New Roman"/>
                <w:sz w:val="24"/>
                <w:szCs w:val="24"/>
              </w:rPr>
              <w:t>помещения</w:t>
            </w:r>
            <w:r w:rsidRPr="00BC7763">
              <w:rPr>
                <w:rFonts w:eastAsia="Times New Roman"/>
                <w:sz w:val="24"/>
                <w:szCs w:val="24"/>
                <w:lang w:val="ru-RU"/>
              </w:rPr>
              <w:br/>
            </w:r>
            <w:r w:rsidRPr="00BC7763">
              <w:rPr>
                <w:sz w:val="24"/>
                <w:szCs w:val="24"/>
              </w:rPr>
              <w:t>Включва всички дейности по изграждането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AD20B8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AD20B8">
              <w:rPr>
                <w:sz w:val="24"/>
                <w:szCs w:val="24"/>
              </w:rPr>
              <w:t>Производствена сграда без система за климатизация (самостоятелна сграда)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  <w:lang w:val="ru-RU"/>
              </w:rPr>
              <w:t xml:space="preserve">Всеки тип сграда, свързана с изпълнението на обекта и непопадаща в определенията за СМР </w:t>
            </w:r>
            <w:r>
              <w:rPr>
                <w:sz w:val="24"/>
                <w:szCs w:val="24"/>
                <w:lang w:val="ru-RU"/>
              </w:rPr>
              <w:t xml:space="preserve">по </w:t>
            </w:r>
            <w:r w:rsidRPr="00AD20B8">
              <w:rPr>
                <w:sz w:val="24"/>
                <w:szCs w:val="24"/>
                <w:lang w:val="ru-RU"/>
              </w:rPr>
              <w:t>точка 1, 3 и 4</w:t>
            </w:r>
            <w:r w:rsidRPr="00BC7763">
              <w:rPr>
                <w:sz w:val="24"/>
                <w:szCs w:val="24"/>
                <w:lang w:val="ru-RU"/>
              </w:rPr>
              <w:br/>
            </w:r>
            <w:r w:rsidRPr="00BC7763">
              <w:rPr>
                <w:sz w:val="24"/>
                <w:szCs w:val="24"/>
              </w:rPr>
              <w:t>Включва всички дейности по изграждането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AD20B8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AD20B8">
              <w:rPr>
                <w:sz w:val="24"/>
                <w:szCs w:val="24"/>
              </w:rPr>
              <w:t>Производствена сграда със система за климатизация (самостоятелна сграда)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</w:rPr>
              <w:t>Стопански сгради с технологично изискуема климатизация</w:t>
            </w:r>
            <w:r w:rsidRPr="00BC7763">
              <w:rPr>
                <w:sz w:val="24"/>
                <w:szCs w:val="24"/>
                <w:lang w:val="ru-RU"/>
              </w:rPr>
              <w:br/>
            </w:r>
            <w:r w:rsidRPr="00BC7763">
              <w:rPr>
                <w:sz w:val="24"/>
                <w:szCs w:val="24"/>
              </w:rPr>
              <w:t>Включва всички дейности по изграждането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AD20B8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Метален навес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Включва всички дейности по изграждането, както и площадката в очертанията на навеса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BC7763" w:rsidRDefault="00492124" w:rsidP="00D624E5">
            <w:pPr>
              <w:rPr>
                <w:b/>
                <w:sz w:val="24"/>
                <w:szCs w:val="24"/>
                <w:lang w:val="ru-RU"/>
              </w:rPr>
            </w:pPr>
            <w:r w:rsidRPr="00BC7763">
              <w:rPr>
                <w:b/>
                <w:sz w:val="24"/>
                <w:szCs w:val="24"/>
                <w:lang w:val="ru-RU"/>
              </w:rPr>
              <w:t xml:space="preserve">Вертикална </w:t>
            </w:r>
            <w:r w:rsidRPr="003A594F">
              <w:rPr>
                <w:b/>
                <w:sz w:val="24"/>
                <w:szCs w:val="24"/>
                <w:shd w:val="clear" w:color="auto" w:fill="D9D9D9"/>
                <w:lang w:val="ru-RU"/>
              </w:rPr>
              <w:t>планировка и озеленяване:</w:t>
            </w:r>
          </w:p>
        </w:tc>
      </w:tr>
      <w:tr w:rsidR="00492124" w:rsidRPr="00BC7763" w:rsidTr="00D624E5">
        <w:trPr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  <w:r w:rsidRPr="00BC7763">
              <w:rPr>
                <w:sz w:val="24"/>
                <w:szCs w:val="24"/>
                <w:lang w:val="ru-RU"/>
              </w:rPr>
              <w:t>.1</w:t>
            </w:r>
          </w:p>
        </w:tc>
        <w:tc>
          <w:tcPr>
            <w:tcW w:w="1560" w:type="dxa"/>
            <w:vAlign w:val="center"/>
          </w:tcPr>
          <w:p w:rsidR="00492124" w:rsidRPr="00CB4380" w:rsidRDefault="00492124" w:rsidP="00D624E5">
            <w:pPr>
              <w:rPr>
                <w:sz w:val="24"/>
                <w:szCs w:val="24"/>
                <w:lang w:val="ru-RU"/>
              </w:rPr>
            </w:pPr>
            <w:r w:rsidRPr="00CB4380">
              <w:rPr>
                <w:sz w:val="24"/>
                <w:szCs w:val="24"/>
                <w:lang w:val="ru-RU"/>
              </w:rPr>
              <w:t>Вертикална планировка без площадкови мрежи (без вкл. дейности по озеленяване)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CB4380" w:rsidRDefault="00492124" w:rsidP="00D624E5">
            <w:pPr>
              <w:rPr>
                <w:sz w:val="24"/>
                <w:szCs w:val="24"/>
              </w:rPr>
            </w:pPr>
            <w:r w:rsidRPr="00CB4380">
              <w:rPr>
                <w:rFonts w:eastAsia="Times New Roman"/>
                <w:sz w:val="24"/>
                <w:szCs w:val="24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 и площадки с прилежащи функции</w:t>
            </w:r>
            <w:r w:rsidRPr="00CB4380">
              <w:rPr>
                <w:rFonts w:eastAsia="Times New Roman"/>
                <w:sz w:val="24"/>
                <w:szCs w:val="24"/>
                <w:lang w:val="ru-RU"/>
              </w:rPr>
              <w:t xml:space="preserve"> - </w:t>
            </w:r>
            <w:r w:rsidRPr="00CB4380">
              <w:rPr>
                <w:rFonts w:eastAsia="Times New Roman"/>
                <w:sz w:val="24"/>
                <w:szCs w:val="24"/>
              </w:rPr>
              <w:t>площи с настилки от асфалтобетон, бетон, бетонови или тротоарни плочи, паркоместа и др.</w:t>
            </w:r>
            <w:r w:rsidRPr="00CB4380">
              <w:rPr>
                <w:rFonts w:eastAsia="Times New Roman"/>
                <w:sz w:val="24"/>
                <w:szCs w:val="24"/>
              </w:rPr>
              <w:br/>
            </w:r>
            <w:r w:rsidRPr="00CB4380">
              <w:rPr>
                <w:rFonts w:eastAsia="Times New Roman"/>
                <w:sz w:val="24"/>
                <w:szCs w:val="24"/>
                <w:lang w:val="ru-RU"/>
              </w:rPr>
              <w:t>Прилага се в случаите, когато не</w:t>
            </w:r>
            <w:r w:rsidRPr="00CB4380">
              <w:rPr>
                <w:rFonts w:eastAsia="Times New Roman"/>
                <w:sz w:val="24"/>
                <w:szCs w:val="24"/>
              </w:rPr>
              <w:t xml:space="preserve"> са предвидени </w:t>
            </w:r>
            <w:r w:rsidRPr="00CB4380">
              <w:rPr>
                <w:rFonts w:eastAsia="Times New Roman"/>
                <w:sz w:val="24"/>
                <w:szCs w:val="24"/>
                <w:lang w:val="ru-RU"/>
              </w:rPr>
              <w:t>дейности, свързани с площадкови</w:t>
            </w:r>
            <w:r w:rsidRPr="00CB4380">
              <w:rPr>
                <w:rFonts w:eastAsia="Times New Roman"/>
                <w:sz w:val="24"/>
                <w:szCs w:val="24"/>
              </w:rPr>
              <w:t xml:space="preserve"> инженерни мрежи</w:t>
            </w:r>
            <w:r w:rsidRPr="00CB4380">
              <w:rPr>
                <w:rFonts w:eastAsia="Times New Roman"/>
                <w:sz w:val="24"/>
                <w:szCs w:val="24"/>
                <w:lang w:val="ru-RU"/>
              </w:rPr>
              <w:t>.</w:t>
            </w:r>
            <w:r w:rsidRPr="00CB4380">
              <w:rPr>
                <w:rFonts w:eastAsia="Times New Roman"/>
                <w:sz w:val="24"/>
                <w:szCs w:val="24"/>
              </w:rPr>
              <w:br/>
            </w:r>
            <w:r w:rsidRPr="00CB4380">
              <w:rPr>
                <w:b/>
                <w:sz w:val="24"/>
                <w:szCs w:val="24"/>
              </w:rPr>
              <w:t>Забележка:</w:t>
            </w:r>
            <w:r w:rsidRPr="00CB4380">
              <w:rPr>
                <w:sz w:val="24"/>
                <w:szCs w:val="24"/>
              </w:rPr>
              <w:t xml:space="preserve"> не се включват площите, определени за дейности по:</w:t>
            </w:r>
          </w:p>
          <w:p w:rsidR="00492124" w:rsidRPr="00CB4380" w:rsidRDefault="00492124" w:rsidP="00D624E5">
            <w:pPr>
              <w:rPr>
                <w:sz w:val="24"/>
                <w:szCs w:val="24"/>
                <w:lang w:val="ru-RU"/>
              </w:rPr>
            </w:pPr>
            <w:r w:rsidRPr="00CB4380">
              <w:rPr>
                <w:sz w:val="24"/>
                <w:szCs w:val="24"/>
              </w:rPr>
              <w:t>– озеленяване;</w:t>
            </w:r>
            <w:r w:rsidRPr="00CB4380">
              <w:rPr>
                <w:sz w:val="24"/>
                <w:szCs w:val="24"/>
              </w:rPr>
              <w:br/>
              <w:t>– подпорни стени;</w:t>
            </w:r>
            <w:r w:rsidRPr="00CB4380">
              <w:rPr>
                <w:sz w:val="24"/>
                <w:szCs w:val="24"/>
              </w:rPr>
              <w:br/>
              <w:t>– подземни и надземни резервоари;</w:t>
            </w:r>
            <w:r w:rsidRPr="00CB4380">
              <w:rPr>
                <w:sz w:val="24"/>
                <w:szCs w:val="24"/>
              </w:rPr>
              <w:br/>
              <w:t>– ПСОВ;</w:t>
            </w:r>
            <w:r w:rsidRPr="00CB4380">
              <w:rPr>
                <w:sz w:val="24"/>
                <w:szCs w:val="24"/>
              </w:rPr>
              <w:br/>
              <w:t>– авторазтоварища;</w:t>
            </w:r>
            <w:r w:rsidRPr="00CB4380">
              <w:rPr>
                <w:sz w:val="24"/>
                <w:szCs w:val="24"/>
              </w:rPr>
              <w:br/>
              <w:t>– автомобилни везни;</w:t>
            </w:r>
            <w:r w:rsidRPr="00CB4380">
              <w:rPr>
                <w:sz w:val="24"/>
                <w:szCs w:val="24"/>
              </w:rPr>
              <w:br/>
              <w:t>– дезинфекционни площадки;</w:t>
            </w:r>
            <w:r w:rsidRPr="00CB4380">
              <w:rPr>
                <w:sz w:val="24"/>
                <w:szCs w:val="24"/>
              </w:rPr>
              <w:br/>
              <w:t xml:space="preserve">– дейностите, описани в СМР </w:t>
            </w:r>
            <w:r w:rsidRPr="00CB4380">
              <w:rPr>
                <w:sz w:val="24"/>
                <w:szCs w:val="24"/>
                <w:lang w:val="ru-RU"/>
              </w:rPr>
              <w:t>7</w:t>
            </w:r>
            <w:r w:rsidRPr="00CB4380">
              <w:rPr>
                <w:sz w:val="24"/>
                <w:szCs w:val="24"/>
              </w:rPr>
              <w:t xml:space="preserve"> (фундаментна плоча силози)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492124" w:rsidRPr="00436747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  <w:r w:rsidRPr="00BC7763">
              <w:rPr>
                <w:sz w:val="24"/>
                <w:szCs w:val="24"/>
                <w:lang w:val="ru-RU"/>
              </w:rPr>
              <w:t>.2</w:t>
            </w:r>
          </w:p>
        </w:tc>
        <w:tc>
          <w:tcPr>
            <w:tcW w:w="1560" w:type="dxa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Вертикална планировка с площадкови мрежи (без вкл. дейности по озеленяване)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0E5798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rFonts w:eastAsia="Times New Roman"/>
                <w:sz w:val="24"/>
                <w:szCs w:val="24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трасета, площадки с прилежащи функции и съоръжения и обекти на техническата инфраструктура</w:t>
            </w:r>
            <w:r w:rsidRPr="00BC7763">
              <w:rPr>
                <w:rFonts w:eastAsia="Times New Roman"/>
                <w:sz w:val="24"/>
                <w:szCs w:val="24"/>
                <w:lang w:val="ru-RU"/>
              </w:rPr>
              <w:t xml:space="preserve"> -</w:t>
            </w:r>
            <w:r w:rsidRPr="00BC7763">
              <w:rPr>
                <w:rFonts w:eastAsia="Times New Roman"/>
                <w:sz w:val="24"/>
                <w:szCs w:val="24"/>
              </w:rPr>
              <w:t xml:space="preserve"> площи с настилки от асфалтобетон, бетон, бетонови или тротоарни плочи, паркоместа и др., с предвидени площадкови мрежи и др., необходими за експлоатацията на обекта;</w:t>
            </w:r>
            <w:r w:rsidRPr="00BC7763">
              <w:rPr>
                <w:rFonts w:eastAsia="Times New Roman"/>
                <w:sz w:val="24"/>
                <w:szCs w:val="24"/>
              </w:rPr>
              <w:br/>
            </w:r>
            <w:r w:rsidRPr="00BC7763">
              <w:rPr>
                <w:b/>
                <w:sz w:val="24"/>
                <w:szCs w:val="24"/>
              </w:rPr>
              <w:t>Забележка:</w:t>
            </w:r>
            <w:r w:rsidRPr="00BC7763">
              <w:rPr>
                <w:sz w:val="24"/>
                <w:szCs w:val="24"/>
              </w:rPr>
              <w:t xml:space="preserve"> не се включват площите, </w:t>
            </w:r>
            <w:r w:rsidRPr="00CD080C">
              <w:rPr>
                <w:sz w:val="24"/>
                <w:szCs w:val="24"/>
              </w:rPr>
              <w:t xml:space="preserve">определени за дейности описани в </w:t>
            </w:r>
            <w:r w:rsidRPr="00CD080C">
              <w:rPr>
                <w:b/>
                <w:sz w:val="24"/>
                <w:szCs w:val="24"/>
              </w:rPr>
              <w:lastRenderedPageBreak/>
              <w:t>„Забележка”</w:t>
            </w:r>
            <w:r w:rsidRPr="00CD080C">
              <w:rPr>
                <w:sz w:val="24"/>
                <w:szCs w:val="24"/>
              </w:rPr>
              <w:t xml:space="preserve"> към СМР </w:t>
            </w:r>
            <w:r>
              <w:rPr>
                <w:sz w:val="24"/>
                <w:szCs w:val="24"/>
              </w:rPr>
              <w:t>5</w:t>
            </w:r>
            <w:r w:rsidRPr="00CD080C">
              <w:rPr>
                <w:sz w:val="24"/>
                <w:szCs w:val="24"/>
              </w:rPr>
              <w:t>.1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lastRenderedPageBreak/>
              <w:t>кв.м.</w:t>
            </w:r>
          </w:p>
        </w:tc>
        <w:tc>
          <w:tcPr>
            <w:tcW w:w="993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5</w:t>
            </w:r>
            <w:r w:rsidRPr="00BC7763">
              <w:rPr>
                <w:sz w:val="24"/>
                <w:szCs w:val="24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Озеленяване/Ландшафтна архитектура</w:t>
            </w:r>
          </w:p>
        </w:tc>
        <w:tc>
          <w:tcPr>
            <w:tcW w:w="3960" w:type="dxa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rFonts w:eastAsia="Times New Roman"/>
                <w:sz w:val="24"/>
                <w:szCs w:val="24"/>
              </w:rPr>
              <w:t>Включва дейностите по частта от територията на поземления или урегулирания имот, предвидени за озеленяване с тревиста, дървесна, храстова и/или цветна растителност, както и за градински архитектурни елементи и форми;</w:t>
            </w:r>
            <w:r w:rsidRPr="00BC7763">
              <w:rPr>
                <w:rFonts w:eastAsia="Times New Roman"/>
                <w:sz w:val="24"/>
                <w:szCs w:val="24"/>
              </w:rPr>
              <w:br/>
            </w:r>
            <w:r w:rsidRPr="00BC7763">
              <w:rPr>
                <w:b/>
                <w:sz w:val="24"/>
                <w:szCs w:val="24"/>
              </w:rPr>
              <w:t>Забележка:</w:t>
            </w:r>
            <w:r w:rsidRPr="00BC7763">
              <w:rPr>
                <w:sz w:val="24"/>
                <w:szCs w:val="24"/>
              </w:rPr>
              <w:t xml:space="preserve"> не са допустими дейности по засаждане с едногодишни растения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" w:type="dxa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BC7763" w:rsidRDefault="00492124" w:rsidP="00D624E5">
            <w:pPr>
              <w:rPr>
                <w:b/>
                <w:sz w:val="24"/>
                <w:szCs w:val="24"/>
                <w:lang w:val="ru-RU"/>
              </w:rPr>
            </w:pPr>
            <w:r w:rsidRPr="00BC7763">
              <w:rPr>
                <w:b/>
                <w:sz w:val="24"/>
                <w:szCs w:val="24"/>
                <w:lang w:val="ru-RU"/>
              </w:rPr>
              <w:t>Огради: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  <w:r w:rsidRPr="00BC7763">
              <w:rPr>
                <w:sz w:val="24"/>
                <w:szCs w:val="24"/>
                <w:lang w:val="ru-RU"/>
              </w:rPr>
              <w:t>.1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Плътна масивна ограда</w:t>
            </w:r>
          </w:p>
        </w:tc>
        <w:tc>
          <w:tcPr>
            <w:tcW w:w="3960" w:type="dxa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Масивни огради - плътни в пълната им височина, вкл. фундаментите към нея, както и врати/портали в оградата</w:t>
            </w:r>
          </w:p>
        </w:tc>
        <w:tc>
          <w:tcPr>
            <w:tcW w:w="708" w:type="dxa"/>
            <w:vAlign w:val="center"/>
          </w:tcPr>
          <w:p w:rsidR="00492124" w:rsidRPr="001754AB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  <w:r w:rsidRPr="00BC7763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  <w:lang w:val="en-US"/>
              </w:rPr>
              <w:t>`</w:t>
            </w:r>
          </w:p>
        </w:tc>
        <w:tc>
          <w:tcPr>
            <w:tcW w:w="993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 w:rsidRPr="00BC7763">
              <w:rPr>
                <w:sz w:val="24"/>
                <w:szCs w:val="24"/>
                <w:lang w:val="ru-RU"/>
              </w:rPr>
              <w:t>.2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Ажурна ограда</w:t>
            </w:r>
          </w:p>
        </w:tc>
        <w:tc>
          <w:tcPr>
            <w:tcW w:w="3960" w:type="dxa"/>
            <w:vAlign w:val="center"/>
          </w:tcPr>
          <w:p w:rsidR="00492124" w:rsidRPr="00896E12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Ограда, състояща се от:</w:t>
            </w:r>
            <w:r w:rsidRPr="00BC7763">
              <w:rPr>
                <w:sz w:val="24"/>
                <w:szCs w:val="24"/>
              </w:rPr>
              <w:br/>
              <w:t>– плътна част: с височина до 0.60м и/или плътни (масивни) елементи с височина над 0.60м</w:t>
            </w:r>
            <w:r w:rsidRPr="00BC7763">
              <w:rPr>
                <w:sz w:val="24"/>
                <w:szCs w:val="24"/>
              </w:rPr>
              <w:br/>
              <w:t>и/или</w:t>
            </w:r>
            <w:r w:rsidRPr="00BC7763">
              <w:rPr>
                <w:sz w:val="24"/>
                <w:szCs w:val="24"/>
              </w:rPr>
              <w:br/>
              <w:t>– прозирни елементи: метални, дървени (или др. материал) пана или отделни елементи;</w:t>
            </w:r>
            <w:r w:rsidRPr="00BC7763">
              <w:rPr>
                <w:sz w:val="24"/>
                <w:szCs w:val="24"/>
              </w:rPr>
              <w:br/>
              <w:t>включват се фундаментите на оградните елементи, както и врати/портали в оградата</w:t>
            </w:r>
            <w:r w:rsidRPr="00BC7763">
              <w:rPr>
                <w:sz w:val="24"/>
                <w:szCs w:val="24"/>
              </w:rPr>
              <w:br/>
            </w:r>
            <w:r w:rsidRPr="00BC7763">
              <w:rPr>
                <w:b/>
                <w:sz w:val="24"/>
                <w:szCs w:val="24"/>
              </w:rPr>
              <w:t>Забележка:</w:t>
            </w:r>
            <w:r w:rsidRPr="00BC7763">
              <w:rPr>
                <w:sz w:val="24"/>
                <w:szCs w:val="24"/>
              </w:rPr>
              <w:t xml:space="preserve"> не се включва лека прозирна ограда, описана в СМР </w:t>
            </w:r>
            <w:r>
              <w:rPr>
                <w:sz w:val="24"/>
                <w:szCs w:val="24"/>
              </w:rPr>
              <w:t>6.3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`</w:t>
            </w:r>
          </w:p>
        </w:tc>
        <w:tc>
          <w:tcPr>
            <w:tcW w:w="993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 w:rsidRPr="00BC7763">
              <w:rPr>
                <w:sz w:val="24"/>
                <w:szCs w:val="24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Телена ограда</w:t>
            </w:r>
          </w:p>
        </w:tc>
        <w:tc>
          <w:tcPr>
            <w:tcW w:w="3960" w:type="dxa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Лека прозирна ограда, изградена от опорни елементи (бетонови колове, метални, дървени или от друг материал колонки) и метална мрежа (оградна мрежа, бодлива тел и др.), вкл. фундаментите на оградните елементи, както и врати/портали в оградата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`</w:t>
            </w:r>
          </w:p>
        </w:tc>
        <w:tc>
          <w:tcPr>
            <w:tcW w:w="993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BC7763" w:rsidRDefault="00492124" w:rsidP="00D624E5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BC7763" w:rsidRDefault="00492124" w:rsidP="00D624E5">
            <w:pPr>
              <w:rPr>
                <w:color w:val="E36C0A"/>
                <w:sz w:val="24"/>
                <w:szCs w:val="24"/>
                <w:lang w:val="ru-RU"/>
              </w:rPr>
            </w:pPr>
            <w:r w:rsidRPr="00F1478E">
              <w:rPr>
                <w:sz w:val="24"/>
                <w:szCs w:val="24"/>
                <w:lang w:val="ru-RU"/>
              </w:rPr>
              <w:t>Силозно стопанство</w:t>
            </w:r>
          </w:p>
        </w:tc>
        <w:tc>
          <w:tcPr>
            <w:tcW w:w="3960" w:type="dxa"/>
            <w:vAlign w:val="center"/>
          </w:tcPr>
          <w:p w:rsidR="00492124" w:rsidRPr="00BC7763" w:rsidRDefault="00492124" w:rsidP="00D624E5">
            <w:pPr>
              <w:rPr>
                <w:rFonts w:eastAsia="Times New Roman"/>
                <w:color w:val="E36C0A"/>
                <w:sz w:val="24"/>
                <w:szCs w:val="24"/>
                <w:lang w:val="ru-RU"/>
              </w:rPr>
            </w:pPr>
            <w:r w:rsidRPr="00F1478E">
              <w:rPr>
                <w:sz w:val="24"/>
                <w:szCs w:val="24"/>
              </w:rPr>
              <w:t>Включва доставка, монтаж и изпълнение на:</w:t>
            </w:r>
            <w:r w:rsidRPr="00F1478E">
              <w:rPr>
                <w:sz w:val="24"/>
                <w:szCs w:val="24"/>
              </w:rPr>
              <w:br/>
              <w:t>– силози с плоско дъно</w:t>
            </w:r>
            <w:r>
              <w:rPr>
                <w:sz w:val="24"/>
                <w:szCs w:val="24"/>
              </w:rPr>
              <w:t xml:space="preserve"> и </w:t>
            </w:r>
            <w:r w:rsidRPr="00F1478E">
              <w:rPr>
                <w:sz w:val="24"/>
                <w:szCs w:val="24"/>
              </w:rPr>
              <w:t>силози на крака с конусно дъно</w:t>
            </w:r>
            <w:r>
              <w:rPr>
                <w:sz w:val="24"/>
                <w:szCs w:val="24"/>
              </w:rPr>
              <w:t>,</w:t>
            </w:r>
            <w:r w:rsidRPr="00F1478E">
              <w:rPr>
                <w:sz w:val="24"/>
                <w:szCs w:val="24"/>
              </w:rPr>
              <w:t xml:space="preserve"> с </w:t>
            </w:r>
            <w:r>
              <w:rPr>
                <w:sz w:val="24"/>
                <w:szCs w:val="24"/>
              </w:rPr>
              <w:t>всички необходими аксесоари и елементи към тях</w:t>
            </w:r>
            <w:r w:rsidRPr="00F1478E">
              <w:rPr>
                <w:sz w:val="24"/>
                <w:szCs w:val="24"/>
              </w:rPr>
              <w:t>, заедно с бетоновия фунд</w:t>
            </w:r>
            <w:r>
              <w:rPr>
                <w:sz w:val="24"/>
                <w:szCs w:val="24"/>
              </w:rPr>
              <w:t>амент, върху който са изградени</w:t>
            </w:r>
            <w:r w:rsidRPr="00F1478E">
              <w:rPr>
                <w:sz w:val="24"/>
                <w:szCs w:val="24"/>
              </w:rPr>
              <w:t>;</w:t>
            </w:r>
            <w:r w:rsidRPr="00F1478E">
              <w:rPr>
                <w:sz w:val="24"/>
                <w:szCs w:val="24"/>
              </w:rPr>
              <w:br/>
              <w:t>– система за активна вентилация, централизирана компютъризирана система за температурен контрол;</w:t>
            </w:r>
            <w:r w:rsidRPr="00F1478E">
              <w:rPr>
                <w:sz w:val="24"/>
                <w:szCs w:val="24"/>
              </w:rPr>
              <w:br/>
              <w:t>– елементи за механизация и автоматизация на силозното стопанство: редлери, елеватори, шнекове,клапи, шибри, пасарелки, елеваторни кули, почистващи машини и др.</w:t>
            </w:r>
            <w:r w:rsidRPr="00F1478E">
              <w:rPr>
                <w:sz w:val="24"/>
                <w:szCs w:val="24"/>
              </w:rPr>
              <w:br/>
              <w:t>– авторазтоварни шахти - автоматизирани с редлер или гравитачен тип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куб.м.</w:t>
            </w:r>
          </w:p>
        </w:tc>
        <w:tc>
          <w:tcPr>
            <w:tcW w:w="993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BC7763" w:rsidRDefault="00492124" w:rsidP="00D624E5">
            <w:pPr>
              <w:rPr>
                <w:b/>
                <w:sz w:val="24"/>
                <w:szCs w:val="24"/>
                <w:lang w:val="ru-RU"/>
              </w:rPr>
            </w:pPr>
            <w:r w:rsidRPr="00BC7763">
              <w:rPr>
                <w:b/>
                <w:sz w:val="24"/>
                <w:szCs w:val="24"/>
                <w:lang w:val="ru-RU"/>
              </w:rPr>
              <w:t>Фотоволтаични (соларни) системи: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8</w:t>
            </w:r>
            <w:r w:rsidRPr="00BC7763">
              <w:rPr>
                <w:sz w:val="24"/>
                <w:szCs w:val="24"/>
                <w:lang w:val="ru-RU"/>
              </w:rPr>
              <w:t>.1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Автономни фотоволтаични (соларни) системи</w:t>
            </w:r>
          </w:p>
        </w:tc>
        <w:tc>
          <w:tcPr>
            <w:tcW w:w="3960" w:type="dxa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Доставка и монтаж на автономна фотоволтаична (соларна) система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  <w:lang w:val="ru-RU"/>
              </w:rPr>
              <w:t>kWp</w:t>
            </w:r>
          </w:p>
        </w:tc>
        <w:tc>
          <w:tcPr>
            <w:tcW w:w="993" w:type="dxa"/>
            <w:vAlign w:val="center"/>
          </w:tcPr>
          <w:p w:rsidR="00492124" w:rsidRPr="00D53E4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70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595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8</w:t>
            </w:r>
            <w:r w:rsidRPr="00BC7763">
              <w:rPr>
                <w:sz w:val="24"/>
                <w:szCs w:val="24"/>
                <w:lang w:val="ru-RU"/>
              </w:rPr>
              <w:t>.2</w:t>
            </w:r>
          </w:p>
        </w:tc>
        <w:tc>
          <w:tcPr>
            <w:tcW w:w="1569" w:type="dxa"/>
            <w:gridSpan w:val="2"/>
            <w:vAlign w:val="bottom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Мрежови фотоволтаични (соларни) системи с инсталирана мощност до 15 kWp включително</w:t>
            </w:r>
          </w:p>
        </w:tc>
        <w:tc>
          <w:tcPr>
            <w:tcW w:w="3960" w:type="dxa"/>
            <w:vMerge w:val="restart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Доставка и монтаж на мрежова фотоволтаична (соларна) система</w:t>
            </w:r>
          </w:p>
        </w:tc>
        <w:tc>
          <w:tcPr>
            <w:tcW w:w="708" w:type="dxa"/>
            <w:vMerge w:val="restart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  <w:lang w:val="ru-RU"/>
              </w:rPr>
              <w:t>kWp</w:t>
            </w:r>
          </w:p>
        </w:tc>
        <w:tc>
          <w:tcPr>
            <w:tcW w:w="993" w:type="dxa"/>
            <w:vAlign w:val="center"/>
          </w:tcPr>
          <w:p w:rsidR="00492124" w:rsidRPr="00D53E4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70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595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8</w:t>
            </w:r>
            <w:r w:rsidRPr="00BC7763">
              <w:rPr>
                <w:sz w:val="24"/>
                <w:szCs w:val="24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bottom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Мрежови фотоволтаични (соларни) системи с инсталирана мощност над 15 kWp</w:t>
            </w:r>
          </w:p>
        </w:tc>
        <w:tc>
          <w:tcPr>
            <w:tcW w:w="3960" w:type="dxa"/>
            <w:vMerge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92124" w:rsidRPr="00D53E4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95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A62D5B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492124" w:rsidRPr="0097448C" w:rsidRDefault="00492124" w:rsidP="00492124">
      <w:pPr>
        <w:pStyle w:val="BodyText3"/>
        <w:numPr>
          <w:ilvl w:val="0"/>
          <w:numId w:val="7"/>
        </w:numPr>
        <w:spacing w:line="320" w:lineRule="exact"/>
        <w:ind w:left="0" w:firstLine="284"/>
        <w:rPr>
          <w:szCs w:val="24"/>
        </w:rPr>
      </w:pPr>
      <w:r w:rsidRPr="0097448C">
        <w:rPr>
          <w:szCs w:val="24"/>
        </w:rPr>
        <w:lastRenderedPageBreak/>
        <w:t>При определяне на допустимите разходи за реконструкция, основен ремонт, текущ ремонт и довършителни работи за отделните видове строежи, се използва съответното процентно съотношение от цялата стойност на строително-монтажните работи за съответния вид строеж</w:t>
      </w:r>
      <w:r>
        <w:rPr>
          <w:szCs w:val="24"/>
        </w:rPr>
        <w:t xml:space="preserve">, описани в колони </w:t>
      </w:r>
      <w:r w:rsidRPr="00896E12">
        <w:rPr>
          <w:b/>
          <w:i/>
          <w:szCs w:val="24"/>
        </w:rPr>
        <w:t>Е, Ж, З</w:t>
      </w:r>
      <w:r w:rsidRPr="00896E12">
        <w:rPr>
          <w:i/>
          <w:szCs w:val="24"/>
        </w:rPr>
        <w:t xml:space="preserve"> </w:t>
      </w:r>
      <w:r w:rsidRPr="000A4283">
        <w:rPr>
          <w:szCs w:val="24"/>
        </w:rPr>
        <w:t>и</w:t>
      </w:r>
      <w:r w:rsidRPr="00896E12">
        <w:rPr>
          <w:i/>
          <w:szCs w:val="24"/>
        </w:rPr>
        <w:t xml:space="preserve"> </w:t>
      </w:r>
      <w:r w:rsidRPr="00896E12">
        <w:rPr>
          <w:b/>
          <w:i/>
          <w:szCs w:val="24"/>
        </w:rPr>
        <w:t>И</w:t>
      </w:r>
      <w:r w:rsidRPr="0097448C">
        <w:rPr>
          <w:szCs w:val="24"/>
        </w:rPr>
        <w:t>.</w:t>
      </w:r>
    </w:p>
    <w:p w:rsidR="00492124" w:rsidRPr="00FA2263" w:rsidRDefault="00492124" w:rsidP="00492124">
      <w:pPr>
        <w:pStyle w:val="BodyText3"/>
        <w:numPr>
          <w:ilvl w:val="0"/>
          <w:numId w:val="7"/>
        </w:numPr>
        <w:spacing w:line="320" w:lineRule="exact"/>
        <w:ind w:left="0" w:firstLine="284"/>
        <w:rPr>
          <w:szCs w:val="24"/>
        </w:rPr>
      </w:pPr>
      <w:r w:rsidRPr="00FA2263">
        <w:rPr>
          <w:szCs w:val="24"/>
        </w:rPr>
        <w:t xml:space="preserve">При </w:t>
      </w:r>
      <w:r>
        <w:rPr>
          <w:szCs w:val="24"/>
        </w:rPr>
        <w:t>оценка</w:t>
      </w:r>
      <w:r w:rsidRPr="00FA2263">
        <w:rPr>
          <w:szCs w:val="24"/>
        </w:rPr>
        <w:t xml:space="preserve"> на заявления за подпомагане, приети</w:t>
      </w:r>
      <w:r>
        <w:rPr>
          <w:szCs w:val="24"/>
        </w:rPr>
        <w:t xml:space="preserve"> през 2018 г.</w:t>
      </w:r>
      <w:r w:rsidRPr="00FA2263">
        <w:rPr>
          <w:szCs w:val="24"/>
        </w:rPr>
        <w:t xml:space="preserve"> по реда и условията определени в документите по чл. 26 от Закона за управление на средствата от европейските структурни и инвестиционни фондове</w:t>
      </w:r>
      <w:r w:rsidRPr="00FA2263">
        <w:rPr>
          <w:rFonts w:eastAsia="Calibri"/>
          <w:szCs w:val="24"/>
        </w:rPr>
        <w:t>, се</w:t>
      </w:r>
      <w:r w:rsidRPr="00FA2263">
        <w:rPr>
          <w:szCs w:val="24"/>
        </w:rPr>
        <w:t xml:space="preserve"> определя максимално допустим размер на площта (измерена в метри на квадрат /м</w:t>
      </w:r>
      <w:r w:rsidRPr="00FA2263">
        <w:rPr>
          <w:szCs w:val="24"/>
          <w:vertAlign w:val="superscript"/>
        </w:rPr>
        <w:t>2</w:t>
      </w:r>
      <w:r w:rsidRPr="00FA2263">
        <w:rPr>
          <w:szCs w:val="24"/>
        </w:rPr>
        <w:t xml:space="preserve">/) за финансиране на разходи за строително-монтажни работи за позиция </w:t>
      </w:r>
      <w:r w:rsidRPr="00FA2263">
        <w:rPr>
          <w:b/>
          <w:i/>
          <w:szCs w:val="24"/>
          <w:lang w:val="en-US"/>
        </w:rPr>
        <w:t>5</w:t>
      </w:r>
      <w:r w:rsidRPr="00FA2263">
        <w:rPr>
          <w:b/>
          <w:i/>
          <w:szCs w:val="24"/>
        </w:rPr>
        <w:t>.1 „</w:t>
      </w:r>
      <w:r w:rsidRPr="00FA2263">
        <w:rPr>
          <w:b/>
          <w:i/>
          <w:szCs w:val="24"/>
          <w:lang w:val="ru-RU"/>
        </w:rPr>
        <w:t>Вертикална планировка без площадкови мрежи</w:t>
      </w:r>
      <w:r w:rsidRPr="00FA2263">
        <w:rPr>
          <w:b/>
          <w:i/>
          <w:szCs w:val="24"/>
          <w:lang w:val="en-US"/>
        </w:rPr>
        <w:t>”</w:t>
      </w:r>
      <w:r w:rsidRPr="00FA2263">
        <w:rPr>
          <w:szCs w:val="24"/>
        </w:rPr>
        <w:t xml:space="preserve">, позиция </w:t>
      </w:r>
      <w:r w:rsidRPr="00FA2263">
        <w:rPr>
          <w:b/>
          <w:i/>
          <w:szCs w:val="24"/>
          <w:lang w:val="en-US"/>
        </w:rPr>
        <w:t>5</w:t>
      </w:r>
      <w:r w:rsidRPr="00FA2263">
        <w:rPr>
          <w:b/>
          <w:i/>
          <w:szCs w:val="24"/>
        </w:rPr>
        <w:t>.2 „Вертикална</w:t>
      </w:r>
      <w:r w:rsidRPr="00FA2263">
        <w:rPr>
          <w:b/>
          <w:i/>
          <w:szCs w:val="24"/>
          <w:lang w:val="ru-RU"/>
        </w:rPr>
        <w:t xml:space="preserve"> планировка с площадкови мрежи”</w:t>
      </w:r>
      <w:r w:rsidRPr="00FA2263">
        <w:rPr>
          <w:szCs w:val="24"/>
          <w:lang w:eastAsia="zh-TW"/>
        </w:rPr>
        <w:t xml:space="preserve"> и позиция </w:t>
      </w:r>
      <w:r w:rsidRPr="00FA2263">
        <w:rPr>
          <w:b/>
          <w:i/>
          <w:szCs w:val="24"/>
          <w:lang w:val="en-US" w:eastAsia="zh-TW"/>
        </w:rPr>
        <w:t>5</w:t>
      </w:r>
      <w:r w:rsidRPr="00FA2263">
        <w:rPr>
          <w:b/>
          <w:i/>
          <w:szCs w:val="24"/>
          <w:lang w:eastAsia="zh-TW"/>
        </w:rPr>
        <w:t>.3 „Озеленяване/Ландшафтна архитектура”</w:t>
      </w:r>
      <w:r w:rsidRPr="00FA2263">
        <w:rPr>
          <w:szCs w:val="24"/>
          <w:lang w:eastAsia="zh-TW"/>
        </w:rPr>
        <w:t xml:space="preserve"> като същите да не надвишават</w:t>
      </w:r>
      <w:r w:rsidRPr="00FA2263">
        <w:rPr>
          <w:szCs w:val="24"/>
        </w:rPr>
        <w:t xml:space="preserve"> </w:t>
      </w:r>
      <w:r w:rsidRPr="00FA2263">
        <w:rPr>
          <w:szCs w:val="24"/>
          <w:lang w:val="en-US"/>
        </w:rPr>
        <w:t>2.5</w:t>
      </w:r>
      <w:r w:rsidRPr="00FA2263">
        <w:rPr>
          <w:szCs w:val="24"/>
        </w:rPr>
        <w:t xml:space="preserve"> /два и половина/ пъти размера на разгънатата застроена площ на заявените за подпомагане разходи за строително-монтажни работи по изграждане, реконструкция, основен ремонт, текущ ремонт и довършителни работи на сгради, свързани с допустимите дейности </w:t>
      </w:r>
      <w:r w:rsidRPr="00895C5C">
        <w:rPr>
          <w:szCs w:val="24"/>
        </w:rPr>
        <w:t>определени в „Процедура чрез подбор на проектни предложения по подмярка 4.2. „Инвестиции в преработка/маркетинг на селскостопански продукти“ от мярка 4 „Инвестиции в материални активи“ от Програма за развитие на селските райони 2014-2020</w:t>
      </w:r>
      <w:r w:rsidRPr="00895C5C">
        <w:rPr>
          <w:rFonts w:eastAsia="Calibri"/>
          <w:szCs w:val="24"/>
        </w:rPr>
        <w:t xml:space="preserve"> от мярка 4. "Инвестиции в материални активи" от Програмата за развитие на селските райони за периода 2014 – 2020 г.”, открита през 2018 г.</w:t>
      </w:r>
    </w:p>
    <w:p w:rsidR="00492124" w:rsidRPr="0097448C" w:rsidRDefault="00492124" w:rsidP="00492124">
      <w:pPr>
        <w:pStyle w:val="BodyText3"/>
        <w:spacing w:line="320" w:lineRule="exact"/>
        <w:ind w:firstLine="284"/>
        <w:rPr>
          <w:szCs w:val="24"/>
        </w:rPr>
      </w:pPr>
      <w:r>
        <w:rPr>
          <w:szCs w:val="24"/>
        </w:rPr>
        <w:t xml:space="preserve">2.1. При изчислението на разгънатата </w:t>
      </w:r>
      <w:r w:rsidRPr="0097448C">
        <w:rPr>
          <w:szCs w:val="24"/>
        </w:rPr>
        <w:t>застроена площ /РЗП/ да бъдат включени само сградите, за чиито строително-монтажни работи по изграждане, реконструкция, основен ремонт, текущ ремонт, довършителни работи и др. се кандидатства за подпомагане.</w:t>
      </w:r>
    </w:p>
    <w:p w:rsidR="00492124" w:rsidRPr="00905523" w:rsidRDefault="00492124" w:rsidP="00492124">
      <w:pPr>
        <w:pStyle w:val="BodyText3"/>
        <w:spacing w:line="320" w:lineRule="exact"/>
        <w:ind w:firstLine="284"/>
        <w:rPr>
          <w:szCs w:val="24"/>
          <w:lang w:val="en-US"/>
        </w:rPr>
      </w:pPr>
      <w:r>
        <w:rPr>
          <w:szCs w:val="24"/>
        </w:rPr>
        <w:t xml:space="preserve">2.2. При изчислението на разгънатата </w:t>
      </w:r>
      <w:r w:rsidRPr="0097448C">
        <w:rPr>
          <w:szCs w:val="24"/>
        </w:rPr>
        <w:t xml:space="preserve">застроена площ /РЗП/ да бъдат включени само сградите, които </w:t>
      </w:r>
      <w:r w:rsidRPr="00C02509">
        <w:rPr>
          <w:szCs w:val="24"/>
        </w:rPr>
        <w:t xml:space="preserve">действително функционират и се използват по предназначение и </w:t>
      </w:r>
      <w:r>
        <w:rPr>
          <w:szCs w:val="24"/>
        </w:rPr>
        <w:t>касаят</w:t>
      </w:r>
      <w:r w:rsidRPr="00C02509">
        <w:rPr>
          <w:szCs w:val="24"/>
        </w:rPr>
        <w:t xml:space="preserve"> допустими дейности</w:t>
      </w:r>
      <w:r>
        <w:rPr>
          <w:szCs w:val="24"/>
        </w:rPr>
        <w:t>,</w:t>
      </w:r>
      <w:r w:rsidRPr="00C02509">
        <w:rPr>
          <w:szCs w:val="24"/>
        </w:rPr>
        <w:t xml:space="preserve"> свързани със </w:t>
      </w:r>
      <w:r w:rsidRPr="00905523">
        <w:rPr>
          <w:szCs w:val="24"/>
        </w:rPr>
        <w:t>земеделското производство, включително такива, използвани за опазване на компонентите на околната среда.</w:t>
      </w:r>
    </w:p>
    <w:p w:rsidR="00492124" w:rsidRDefault="00492124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A62D5B" w:rsidRDefault="00492124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*</w:t>
      </w:r>
      <w:r w:rsidR="00A62D5B">
        <w:rPr>
          <w:rFonts w:ascii="Times New Roman" w:hAnsi="Times New Roman"/>
          <w:b/>
          <w:sz w:val="24"/>
          <w:szCs w:val="24"/>
        </w:rPr>
        <w:t>Забележка: Пределните разходи са определени в лв/м</w:t>
      </w:r>
      <w:r w:rsidR="00A62D5B" w:rsidRPr="00D52250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A62D5B">
        <w:rPr>
          <w:rFonts w:ascii="Times New Roman" w:hAnsi="Times New Roman"/>
          <w:b/>
          <w:sz w:val="24"/>
          <w:szCs w:val="24"/>
        </w:rPr>
        <w:t>. Мерните единици лв/м</w:t>
      </w:r>
      <w:r w:rsidR="00A62D5B" w:rsidRPr="00D52250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="00A62D5B">
        <w:rPr>
          <w:rFonts w:ascii="Times New Roman" w:hAnsi="Times New Roman"/>
          <w:b/>
          <w:sz w:val="24"/>
          <w:szCs w:val="24"/>
        </w:rPr>
        <w:t>; лв/</w:t>
      </w:r>
      <w:r w:rsidR="00A62D5B" w:rsidRPr="00A61B94">
        <w:rPr>
          <w:rFonts w:ascii="Times New Roman" w:hAnsi="Times New Roman"/>
          <w:b/>
          <w:sz w:val="24"/>
          <w:szCs w:val="24"/>
        </w:rPr>
        <w:t>м'</w:t>
      </w:r>
      <w:r w:rsidR="00A62D5B">
        <w:rPr>
          <w:rFonts w:ascii="Times New Roman" w:hAnsi="Times New Roman"/>
          <w:b/>
          <w:sz w:val="24"/>
          <w:szCs w:val="24"/>
        </w:rPr>
        <w:t xml:space="preserve"> и лв/</w:t>
      </w:r>
      <w:r w:rsidR="00A62D5B" w:rsidRPr="00B147E0">
        <w:rPr>
          <w:rFonts w:ascii="Times New Roman" w:hAnsi="Times New Roman"/>
          <w:b/>
          <w:sz w:val="24"/>
          <w:szCs w:val="24"/>
        </w:rPr>
        <w:t xml:space="preserve">дка </w:t>
      </w:r>
      <w:r w:rsidR="00A62D5B">
        <w:rPr>
          <w:rFonts w:ascii="Times New Roman" w:hAnsi="Times New Roman"/>
          <w:b/>
          <w:sz w:val="24"/>
          <w:szCs w:val="24"/>
        </w:rPr>
        <w:t>се използват само където е приложимо.</w:t>
      </w:r>
    </w:p>
    <w:p w:rsidR="00A62D5B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550C9" w:rsidRPr="00271170" w:rsidRDefault="005550C9" w:rsidP="005550C9">
      <w:pPr>
        <w:spacing w:after="0" w:line="300" w:lineRule="exact"/>
        <w:jc w:val="both"/>
        <w:rPr>
          <w:rFonts w:ascii="Arial" w:hAnsi="Arial" w:cs="Arial"/>
          <w:sz w:val="20"/>
          <w:szCs w:val="20"/>
        </w:rPr>
      </w:pPr>
    </w:p>
    <w:sectPr w:rsidR="005550C9" w:rsidRPr="00271170" w:rsidSect="009E2D7F">
      <w:footerReference w:type="default" r:id="rId11"/>
      <w:pgSz w:w="11906" w:h="16838"/>
      <w:pgMar w:top="851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4D9D" w:rsidRDefault="00D74D9D" w:rsidP="009E2D7F">
      <w:pPr>
        <w:spacing w:after="0" w:line="240" w:lineRule="auto"/>
      </w:pPr>
      <w:r>
        <w:separator/>
      </w:r>
    </w:p>
  </w:endnote>
  <w:endnote w:type="continuationSeparator" w:id="0">
    <w:p w:rsidR="00D74D9D" w:rsidRDefault="00D74D9D" w:rsidP="009E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D7F" w:rsidRPr="009E2D7F" w:rsidRDefault="009E2D7F" w:rsidP="009E2D7F">
    <w:pPr>
      <w:pStyle w:val="Footer"/>
      <w:spacing w:after="0" w:line="240" w:lineRule="auto"/>
      <w:jc w:val="right"/>
      <w:rPr>
        <w:rFonts w:ascii="Times New Roman" w:hAnsi="Times New Roman"/>
        <w:sz w:val="20"/>
        <w:szCs w:val="20"/>
      </w:rPr>
    </w:pPr>
    <w:r w:rsidRPr="009E2D7F">
      <w:rPr>
        <w:rFonts w:ascii="Times New Roman" w:hAnsi="Times New Roman"/>
        <w:sz w:val="20"/>
        <w:szCs w:val="20"/>
      </w:rPr>
      <w:t xml:space="preserve">Page </w:t>
    </w:r>
    <w:r w:rsidR="003B6CE8" w:rsidRPr="009E2D7F">
      <w:rPr>
        <w:rFonts w:ascii="Times New Roman" w:hAnsi="Times New Roman"/>
        <w:b/>
        <w:sz w:val="20"/>
        <w:szCs w:val="20"/>
      </w:rPr>
      <w:fldChar w:fldCharType="begin"/>
    </w:r>
    <w:r w:rsidRPr="009E2D7F">
      <w:rPr>
        <w:rFonts w:ascii="Times New Roman" w:hAnsi="Times New Roman"/>
        <w:b/>
        <w:sz w:val="20"/>
        <w:szCs w:val="20"/>
      </w:rPr>
      <w:instrText xml:space="preserve"> PAGE </w:instrText>
    </w:r>
    <w:r w:rsidR="003B6CE8" w:rsidRPr="009E2D7F">
      <w:rPr>
        <w:rFonts w:ascii="Times New Roman" w:hAnsi="Times New Roman"/>
        <w:b/>
        <w:sz w:val="20"/>
        <w:szCs w:val="20"/>
      </w:rPr>
      <w:fldChar w:fldCharType="separate"/>
    </w:r>
    <w:r w:rsidR="00B17218">
      <w:rPr>
        <w:rFonts w:ascii="Times New Roman" w:hAnsi="Times New Roman"/>
        <w:b/>
        <w:noProof/>
        <w:sz w:val="20"/>
        <w:szCs w:val="20"/>
      </w:rPr>
      <w:t>1</w:t>
    </w:r>
    <w:r w:rsidR="003B6CE8" w:rsidRPr="009E2D7F">
      <w:rPr>
        <w:rFonts w:ascii="Times New Roman" w:hAnsi="Times New Roman"/>
        <w:b/>
        <w:sz w:val="20"/>
        <w:szCs w:val="20"/>
      </w:rPr>
      <w:fldChar w:fldCharType="end"/>
    </w:r>
    <w:r w:rsidRPr="009E2D7F">
      <w:rPr>
        <w:rFonts w:ascii="Times New Roman" w:hAnsi="Times New Roman"/>
        <w:sz w:val="20"/>
        <w:szCs w:val="20"/>
      </w:rPr>
      <w:t xml:space="preserve"> of </w:t>
    </w:r>
    <w:r w:rsidR="00E9201F">
      <w:rPr>
        <w:rFonts w:ascii="Times New Roman" w:hAnsi="Times New Roman"/>
        <w:b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4D9D" w:rsidRDefault="00D74D9D" w:rsidP="009E2D7F">
      <w:pPr>
        <w:spacing w:after="0" w:line="240" w:lineRule="auto"/>
      </w:pPr>
      <w:r>
        <w:separator/>
      </w:r>
    </w:p>
  </w:footnote>
  <w:footnote w:type="continuationSeparator" w:id="0">
    <w:p w:rsidR="00D74D9D" w:rsidRDefault="00D74D9D" w:rsidP="009E2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747DE"/>
    <w:multiLevelType w:val="hybridMultilevel"/>
    <w:tmpl w:val="AAECA92E"/>
    <w:lvl w:ilvl="0" w:tplc="D178A0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A2FE4"/>
    <w:multiLevelType w:val="hybridMultilevel"/>
    <w:tmpl w:val="051417B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190BC4"/>
    <w:multiLevelType w:val="multilevel"/>
    <w:tmpl w:val="34A4D504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46AA1BD5"/>
    <w:multiLevelType w:val="hybridMultilevel"/>
    <w:tmpl w:val="EB12BFE0"/>
    <w:lvl w:ilvl="0" w:tplc="E902B9D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6D065FB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7BB643D3"/>
    <w:multiLevelType w:val="hybridMultilevel"/>
    <w:tmpl w:val="D8C240E4"/>
    <w:lvl w:ilvl="0" w:tplc="B98A6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C9838E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0DEF"/>
    <w:rsid w:val="000226B6"/>
    <w:rsid w:val="00037A4B"/>
    <w:rsid w:val="00045769"/>
    <w:rsid w:val="000557A2"/>
    <w:rsid w:val="00060E94"/>
    <w:rsid w:val="00066104"/>
    <w:rsid w:val="00086061"/>
    <w:rsid w:val="0008756C"/>
    <w:rsid w:val="000B0A8D"/>
    <w:rsid w:val="000E3D82"/>
    <w:rsid w:val="00123620"/>
    <w:rsid w:val="0012501E"/>
    <w:rsid w:val="001C443F"/>
    <w:rsid w:val="002149ED"/>
    <w:rsid w:val="00226CD6"/>
    <w:rsid w:val="0024611E"/>
    <w:rsid w:val="00257EA2"/>
    <w:rsid w:val="002634E4"/>
    <w:rsid w:val="00265914"/>
    <w:rsid w:val="00271170"/>
    <w:rsid w:val="0028080B"/>
    <w:rsid w:val="00292AC7"/>
    <w:rsid w:val="002B49AA"/>
    <w:rsid w:val="002B504F"/>
    <w:rsid w:val="002D4FAC"/>
    <w:rsid w:val="003050D6"/>
    <w:rsid w:val="00351D49"/>
    <w:rsid w:val="0035348E"/>
    <w:rsid w:val="0036301A"/>
    <w:rsid w:val="003B6CE8"/>
    <w:rsid w:val="003D1D2A"/>
    <w:rsid w:val="003E39D5"/>
    <w:rsid w:val="004025E0"/>
    <w:rsid w:val="004058E0"/>
    <w:rsid w:val="00492124"/>
    <w:rsid w:val="004C3D5F"/>
    <w:rsid w:val="004C5219"/>
    <w:rsid w:val="004C75BF"/>
    <w:rsid w:val="004D7A4A"/>
    <w:rsid w:val="004E29BF"/>
    <w:rsid w:val="00520293"/>
    <w:rsid w:val="00530C1C"/>
    <w:rsid w:val="00532D2A"/>
    <w:rsid w:val="005550C9"/>
    <w:rsid w:val="00561550"/>
    <w:rsid w:val="00565F9B"/>
    <w:rsid w:val="0058244B"/>
    <w:rsid w:val="005928CB"/>
    <w:rsid w:val="005A69D2"/>
    <w:rsid w:val="005B02A7"/>
    <w:rsid w:val="005E6525"/>
    <w:rsid w:val="00600482"/>
    <w:rsid w:val="00612EA8"/>
    <w:rsid w:val="0062687F"/>
    <w:rsid w:val="0063734B"/>
    <w:rsid w:val="0068468C"/>
    <w:rsid w:val="00696E7D"/>
    <w:rsid w:val="006E0D64"/>
    <w:rsid w:val="00703C38"/>
    <w:rsid w:val="007205DB"/>
    <w:rsid w:val="00727264"/>
    <w:rsid w:val="00755A7A"/>
    <w:rsid w:val="007719B7"/>
    <w:rsid w:val="00771AA6"/>
    <w:rsid w:val="00796AB1"/>
    <w:rsid w:val="00797862"/>
    <w:rsid w:val="007E493A"/>
    <w:rsid w:val="00824D17"/>
    <w:rsid w:val="0082582A"/>
    <w:rsid w:val="008451E0"/>
    <w:rsid w:val="00851FE7"/>
    <w:rsid w:val="0086611B"/>
    <w:rsid w:val="00874F17"/>
    <w:rsid w:val="008A3F7E"/>
    <w:rsid w:val="008B69D9"/>
    <w:rsid w:val="008D17C1"/>
    <w:rsid w:val="0091036A"/>
    <w:rsid w:val="00912F18"/>
    <w:rsid w:val="00951942"/>
    <w:rsid w:val="00955088"/>
    <w:rsid w:val="00957251"/>
    <w:rsid w:val="009B4CAA"/>
    <w:rsid w:val="009B5E24"/>
    <w:rsid w:val="009D062A"/>
    <w:rsid w:val="009E2D7F"/>
    <w:rsid w:val="009E3C34"/>
    <w:rsid w:val="00A0344E"/>
    <w:rsid w:val="00A14AE6"/>
    <w:rsid w:val="00A17634"/>
    <w:rsid w:val="00A2013D"/>
    <w:rsid w:val="00A207B7"/>
    <w:rsid w:val="00A4157D"/>
    <w:rsid w:val="00A50E84"/>
    <w:rsid w:val="00A61B94"/>
    <w:rsid w:val="00A62D5B"/>
    <w:rsid w:val="00A66548"/>
    <w:rsid w:val="00A84299"/>
    <w:rsid w:val="00AB4D5A"/>
    <w:rsid w:val="00AC618D"/>
    <w:rsid w:val="00AC6F5C"/>
    <w:rsid w:val="00AF04E8"/>
    <w:rsid w:val="00B00FA5"/>
    <w:rsid w:val="00B147E0"/>
    <w:rsid w:val="00B14EA6"/>
    <w:rsid w:val="00B17218"/>
    <w:rsid w:val="00B259D5"/>
    <w:rsid w:val="00B747C3"/>
    <w:rsid w:val="00B81417"/>
    <w:rsid w:val="00B900B2"/>
    <w:rsid w:val="00B9246D"/>
    <w:rsid w:val="00B97A28"/>
    <w:rsid w:val="00BB2344"/>
    <w:rsid w:val="00BB534F"/>
    <w:rsid w:val="00BD648D"/>
    <w:rsid w:val="00BE5E08"/>
    <w:rsid w:val="00BF7822"/>
    <w:rsid w:val="00C034D8"/>
    <w:rsid w:val="00C7290C"/>
    <w:rsid w:val="00C8375B"/>
    <w:rsid w:val="00CA402F"/>
    <w:rsid w:val="00CA6D63"/>
    <w:rsid w:val="00CB7C51"/>
    <w:rsid w:val="00CE41DB"/>
    <w:rsid w:val="00D00DEF"/>
    <w:rsid w:val="00D157A4"/>
    <w:rsid w:val="00D52250"/>
    <w:rsid w:val="00D74D9D"/>
    <w:rsid w:val="00D96550"/>
    <w:rsid w:val="00DB0256"/>
    <w:rsid w:val="00DC666F"/>
    <w:rsid w:val="00E0324A"/>
    <w:rsid w:val="00E12736"/>
    <w:rsid w:val="00E36E48"/>
    <w:rsid w:val="00E37E2F"/>
    <w:rsid w:val="00E425B5"/>
    <w:rsid w:val="00E55D68"/>
    <w:rsid w:val="00E65300"/>
    <w:rsid w:val="00E87E5B"/>
    <w:rsid w:val="00E9201F"/>
    <w:rsid w:val="00EA4F0C"/>
    <w:rsid w:val="00F10978"/>
    <w:rsid w:val="00F1314E"/>
    <w:rsid w:val="00F167ED"/>
    <w:rsid w:val="00F25B52"/>
    <w:rsid w:val="00F3447B"/>
    <w:rsid w:val="00F35485"/>
    <w:rsid w:val="00F473AC"/>
    <w:rsid w:val="00F70869"/>
    <w:rsid w:val="00FC1E8B"/>
    <w:rsid w:val="00FF5E96"/>
    <w:rsid w:val="00FF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EC391E1-1AAC-45AC-A82F-9F9A1AD06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719B7"/>
    <w:pPr>
      <w:ind w:left="720"/>
      <w:contextualSpacing/>
    </w:pPr>
  </w:style>
  <w:style w:type="table" w:styleId="TableGrid">
    <w:name w:val="Table Grid"/>
    <w:basedOn w:val="TableNormal"/>
    <w:uiPriority w:val="59"/>
    <w:rsid w:val="00CA40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rsid w:val="002634E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E2D7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2D7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2D7F"/>
    <w:rPr>
      <w:sz w:val="22"/>
      <w:szCs w:val="22"/>
      <w:lang w:eastAsia="en-US"/>
    </w:rPr>
  </w:style>
  <w:style w:type="paragraph" w:styleId="BodyText3">
    <w:name w:val="Body Text 3"/>
    <w:basedOn w:val="Normal"/>
    <w:link w:val="BodyText3Char"/>
    <w:rsid w:val="00492124"/>
    <w:pPr>
      <w:spacing w:after="0" w:line="240" w:lineRule="auto"/>
      <w:jc w:val="both"/>
    </w:pPr>
    <w:rPr>
      <w:rFonts w:ascii="Times New Roman" w:eastAsia="PMingLiU" w:hAnsi="Times New Roman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rsid w:val="00492124"/>
    <w:rPr>
      <w:rFonts w:ascii="Times New Roman" w:eastAsia="PMingLiU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fz@dfz.b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1D1193-094C-4DCB-9A93-A239B5572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1003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6713</CharactersWithSpaces>
  <SharedDoc>false</SharedDoc>
  <HLinks>
    <vt:vector size="6" baseType="variant"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krasimirk</dc:creator>
  <cp:lastModifiedBy>user</cp:lastModifiedBy>
  <cp:revision>10</cp:revision>
  <cp:lastPrinted>2015-11-04T14:52:00Z</cp:lastPrinted>
  <dcterms:created xsi:type="dcterms:W3CDTF">2018-01-26T11:00:00Z</dcterms:created>
  <dcterms:modified xsi:type="dcterms:W3CDTF">2020-12-22T13:36:00Z</dcterms:modified>
</cp:coreProperties>
</file>